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157" w:beforeLines="50" w:after="157" w:afterLines="50" w:line="240" w:lineRule="auto"/>
        <w:ind w:left="0" w:leftChars="0" w:right="0" w:firstLine="0" w:firstLineChars="0"/>
        <w:jc w:val="center"/>
        <w:textAlignment w:val="auto"/>
        <w:outlineLvl w:val="9"/>
        <w:rPr>
          <w:b/>
          <w:sz w:val="36"/>
          <w:szCs w:val="36"/>
        </w:rPr>
      </w:pPr>
      <w:r>
        <w:rPr>
          <w:b/>
          <w:sz w:val="36"/>
          <w:szCs w:val="36"/>
        </w:rPr>
        <w:t>GS</w:t>
      </w:r>
      <w:r>
        <w:rPr>
          <w:rFonts w:hint="eastAsia"/>
          <w:b/>
          <w:sz w:val="36"/>
          <w:szCs w:val="36"/>
        </w:rPr>
        <w:t>环保组织制备试剂处理组织</w:t>
      </w:r>
    </w:p>
    <w:p>
      <w:pPr>
        <w:widowControl w:val="0"/>
        <w:wordWrap/>
        <w:adjustRightInd/>
        <w:snapToGrid/>
        <w:spacing w:before="157" w:beforeLines="50" w:after="157" w:afterLines="50" w:line="240" w:lineRule="auto"/>
        <w:ind w:left="0" w:leftChars="0" w:right="0" w:firstLine="0" w:firstLineChars="0"/>
        <w:jc w:val="center"/>
        <w:textAlignment w:val="auto"/>
        <w:outlineLvl w:val="9"/>
        <w:rPr>
          <w:sz w:val="36"/>
          <w:szCs w:val="36"/>
        </w:rPr>
      </w:pPr>
      <w:r>
        <w:rPr>
          <w:rFonts w:hint="eastAsia"/>
          <w:b/>
          <w:sz w:val="36"/>
          <w:szCs w:val="36"/>
        </w:rPr>
        <w:t>常规</w:t>
      </w:r>
      <w:r>
        <w:rPr>
          <w:b/>
          <w:sz w:val="36"/>
          <w:szCs w:val="36"/>
        </w:rPr>
        <w:t>HE</w:t>
      </w:r>
      <w:r>
        <w:rPr>
          <w:rFonts w:hint="eastAsia"/>
          <w:b/>
          <w:sz w:val="36"/>
          <w:szCs w:val="36"/>
        </w:rPr>
        <w:t>染色对比实验结果</w:t>
      </w:r>
    </w:p>
    <w:p>
      <w:pPr>
        <w:widowControl w:val="0"/>
        <w:wordWrap/>
        <w:adjustRightInd/>
        <w:snapToGrid/>
        <w:spacing w:line="360" w:lineRule="auto"/>
        <w:ind w:right="0" w:firstLine="480"/>
        <w:jc w:val="both"/>
        <w:textAlignment w:val="auto"/>
        <w:outlineLvl w:val="9"/>
        <w:rPr>
          <w:sz w:val="21"/>
          <w:szCs w:val="21"/>
        </w:rPr>
      </w:pPr>
      <w:r>
        <w:rPr>
          <w:rFonts w:hint="eastAsia"/>
          <w:sz w:val="21"/>
          <w:szCs w:val="21"/>
        </w:rPr>
        <w:t>病理技术流程中对组织的制备通常使用成本较低的甲醛与二甲苯，病理工作者长期承受甲醛、二甲苯等有毒有害试剂的侵害。哈尔滨格林公司研发的</w:t>
      </w:r>
      <w:r>
        <w:rPr>
          <w:sz w:val="21"/>
          <w:szCs w:val="21"/>
        </w:rPr>
        <w:t>GS</w:t>
      </w:r>
      <w:r>
        <w:rPr>
          <w:rFonts w:hint="eastAsia"/>
          <w:sz w:val="21"/>
          <w:szCs w:val="21"/>
        </w:rPr>
        <w:t>环保组织制备试剂（包括固定、脱水、透明）该产品以无醛、无苯等环保性得到认可，近年来在全国许多二级、三级医院得到应用。在宁波病理中心的常规病理技术流程中，该产品是否能满足病理诊断的需要，需要在我中心的常规条件下进行验证其可靠性。</w:t>
      </w:r>
    </w:p>
    <w:p>
      <w:pPr>
        <w:pStyle w:val="8"/>
        <w:widowControl w:val="0"/>
        <w:numPr>
          <w:numId w:val="0"/>
        </w:numPr>
        <w:wordWrap/>
        <w:adjustRightInd/>
        <w:snapToGrid/>
        <w:spacing w:line="360" w:lineRule="auto"/>
        <w:ind w:right="0"/>
        <w:jc w:val="both"/>
        <w:textAlignment w:val="auto"/>
        <w:outlineLvl w:val="9"/>
        <w:rPr>
          <w:b/>
          <w:bCs/>
          <w:sz w:val="28"/>
          <w:szCs w:val="28"/>
        </w:rPr>
      </w:pPr>
      <w:r>
        <w:rPr>
          <w:rFonts w:hint="eastAsia"/>
          <w:b/>
          <w:bCs/>
          <w:sz w:val="28"/>
          <w:szCs w:val="28"/>
          <w:lang w:eastAsia="zh-CN"/>
        </w:rPr>
        <w:t>一、</w:t>
      </w:r>
      <w:r>
        <w:rPr>
          <w:rFonts w:hint="eastAsia"/>
          <w:b/>
          <w:bCs/>
          <w:sz w:val="28"/>
          <w:szCs w:val="28"/>
        </w:rPr>
        <w:t>实验方案设计</w:t>
      </w:r>
    </w:p>
    <w:p>
      <w:pPr>
        <w:pStyle w:val="8"/>
        <w:widowControl w:val="0"/>
        <w:wordWrap/>
        <w:adjustRightInd/>
        <w:snapToGrid/>
        <w:spacing w:line="360" w:lineRule="auto"/>
        <w:ind w:right="0" w:firstLine="31680"/>
        <w:jc w:val="both"/>
        <w:textAlignment w:val="auto"/>
        <w:outlineLvl w:val="9"/>
        <w:rPr>
          <w:sz w:val="21"/>
          <w:szCs w:val="21"/>
        </w:rPr>
      </w:pPr>
      <w:r>
        <w:rPr>
          <w:rFonts w:hint="eastAsia"/>
          <w:sz w:val="21"/>
          <w:szCs w:val="21"/>
        </w:rPr>
        <w:t>实验分两组，一组为实验组以哈尔滨格林公司</w:t>
      </w:r>
      <w:r>
        <w:rPr>
          <w:sz w:val="21"/>
          <w:szCs w:val="21"/>
        </w:rPr>
        <w:t>GS</w:t>
      </w:r>
      <w:r>
        <w:rPr>
          <w:rFonts w:hint="eastAsia"/>
          <w:sz w:val="21"/>
          <w:szCs w:val="21"/>
        </w:rPr>
        <w:t>系列环保组织制备试剂（包括固定、脱水、透明）进行组织取材后组织制备，一组为对照组以常规</w:t>
      </w:r>
      <w:r>
        <w:rPr>
          <w:sz w:val="21"/>
          <w:szCs w:val="21"/>
        </w:rPr>
        <w:t>10%</w:t>
      </w:r>
      <w:r>
        <w:rPr>
          <w:rFonts w:hint="eastAsia"/>
          <w:sz w:val="21"/>
          <w:szCs w:val="21"/>
        </w:rPr>
        <w:t>福尔马林和二甲苯进行取材后组织制备。取宁波病理中心常规取材后具有代表性的新鲜标本</w:t>
      </w:r>
      <w:r>
        <w:rPr>
          <w:sz w:val="21"/>
          <w:szCs w:val="21"/>
        </w:rPr>
        <w:t>18</w:t>
      </w:r>
      <w:r>
        <w:rPr>
          <w:rFonts w:hint="eastAsia"/>
          <w:sz w:val="21"/>
          <w:szCs w:val="21"/>
        </w:rPr>
        <w:t>个，每个标本分别取两块，分别采用实验组和对照组试剂，分别置于</w:t>
      </w:r>
      <w:r>
        <w:rPr>
          <w:sz w:val="21"/>
          <w:szCs w:val="21"/>
        </w:rPr>
        <w:t>ThermoPT420</w:t>
      </w:r>
      <w:r>
        <w:rPr>
          <w:rFonts w:hint="eastAsia"/>
          <w:sz w:val="21"/>
          <w:szCs w:val="21"/>
        </w:rPr>
        <w:t>和</w:t>
      </w:r>
      <w:r>
        <w:rPr>
          <w:sz w:val="21"/>
          <w:szCs w:val="21"/>
        </w:rPr>
        <w:t>Leica Prorie</w:t>
      </w:r>
      <w:r>
        <w:rPr>
          <w:rFonts w:hint="eastAsia"/>
          <w:sz w:val="21"/>
          <w:szCs w:val="21"/>
        </w:rPr>
        <w:t>脱水机进行固定、脱水、透明浸蜡。使用</w:t>
      </w:r>
      <w:r>
        <w:rPr>
          <w:sz w:val="21"/>
          <w:szCs w:val="21"/>
        </w:rPr>
        <w:t xml:space="preserve">Roch Sympheny </w:t>
      </w:r>
      <w:r>
        <w:rPr>
          <w:rFonts w:hint="eastAsia"/>
          <w:sz w:val="21"/>
          <w:szCs w:val="21"/>
        </w:rPr>
        <w:t>全自动</w:t>
      </w:r>
      <w:r>
        <w:rPr>
          <w:sz w:val="21"/>
          <w:szCs w:val="21"/>
        </w:rPr>
        <w:t>HE</w:t>
      </w:r>
      <w:r>
        <w:rPr>
          <w:rFonts w:hint="eastAsia"/>
          <w:sz w:val="21"/>
          <w:szCs w:val="21"/>
        </w:rPr>
        <w:t>染色滴染平台进行染色。切片经由高级职称的病理医师分别对比观察，并进行对比最终核定其对组织结构的保存及</w:t>
      </w:r>
      <w:r>
        <w:rPr>
          <w:sz w:val="21"/>
          <w:szCs w:val="21"/>
        </w:rPr>
        <w:t>HE</w:t>
      </w:r>
      <w:r>
        <w:rPr>
          <w:rFonts w:hint="eastAsia"/>
          <w:sz w:val="21"/>
          <w:szCs w:val="21"/>
        </w:rPr>
        <w:t>染色的应用型。</w:t>
      </w:r>
    </w:p>
    <w:p>
      <w:pPr>
        <w:pStyle w:val="8"/>
        <w:widowControl w:val="0"/>
        <w:numPr>
          <w:numId w:val="0"/>
        </w:numPr>
        <w:wordWrap/>
        <w:adjustRightInd/>
        <w:snapToGrid/>
        <w:spacing w:line="360" w:lineRule="auto"/>
        <w:ind w:right="0"/>
        <w:jc w:val="both"/>
        <w:textAlignment w:val="auto"/>
        <w:outlineLvl w:val="9"/>
        <w:rPr>
          <w:rFonts w:hint="eastAsia"/>
          <w:b/>
          <w:bCs/>
          <w:sz w:val="28"/>
          <w:szCs w:val="28"/>
          <w:lang w:eastAsia="zh-CN"/>
        </w:rPr>
      </w:pPr>
      <w:r>
        <w:rPr>
          <w:rFonts w:hint="eastAsia"/>
          <w:b/>
          <w:bCs/>
          <w:sz w:val="28"/>
          <w:szCs w:val="28"/>
          <w:lang w:eastAsia="zh-CN"/>
        </w:rPr>
        <w:t>二、实验过程</w:t>
      </w:r>
    </w:p>
    <w:p>
      <w:pPr>
        <w:pStyle w:val="8"/>
        <w:widowControl w:val="0"/>
        <w:numPr>
          <w:numId w:val="0"/>
        </w:numPr>
        <w:wordWrap/>
        <w:adjustRightInd/>
        <w:snapToGrid/>
        <w:spacing w:line="360" w:lineRule="auto"/>
        <w:ind w:right="0"/>
        <w:jc w:val="both"/>
        <w:textAlignment w:val="auto"/>
        <w:outlineLvl w:val="9"/>
        <w:rPr>
          <w:b/>
          <w:bCs/>
          <w:sz w:val="24"/>
          <w:szCs w:val="24"/>
        </w:rPr>
      </w:pPr>
      <w:r>
        <w:rPr>
          <w:rFonts w:hint="eastAsia"/>
          <w:sz w:val="21"/>
          <w:szCs w:val="21"/>
          <w:lang w:val="en-US" w:eastAsia="zh-CN"/>
        </w:rPr>
        <w:t xml:space="preserve"> </w:t>
      </w:r>
      <w:r>
        <w:rPr>
          <w:rFonts w:hint="eastAsia"/>
          <w:b/>
          <w:bCs/>
          <w:sz w:val="24"/>
          <w:szCs w:val="24"/>
          <w:lang w:eastAsia="zh-CN"/>
        </w:rPr>
        <w:t>（一）</w:t>
      </w:r>
      <w:r>
        <w:rPr>
          <w:rFonts w:hint="eastAsia"/>
          <w:b/>
          <w:bCs/>
          <w:sz w:val="24"/>
          <w:szCs w:val="24"/>
        </w:rPr>
        <w:t>试剂选定</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   1. </w:t>
      </w:r>
      <w:r>
        <w:rPr>
          <w:rFonts w:hint="eastAsia"/>
          <w:sz w:val="21"/>
          <w:szCs w:val="21"/>
        </w:rPr>
        <w:t>哈尔滨格林公司组织处理试剂</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    1.1  </w:t>
      </w:r>
      <w:r>
        <w:rPr>
          <w:sz w:val="21"/>
          <w:szCs w:val="21"/>
        </w:rPr>
        <w:t>GSA-01</w:t>
      </w:r>
      <w:r>
        <w:rPr>
          <w:rFonts w:hint="eastAsia"/>
          <w:sz w:val="21"/>
          <w:szCs w:val="21"/>
        </w:rPr>
        <w:t>（组织固定液）</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    1.2  </w:t>
      </w:r>
      <w:r>
        <w:rPr>
          <w:sz w:val="21"/>
          <w:szCs w:val="21"/>
        </w:rPr>
        <w:t>GSA-02</w:t>
      </w:r>
      <w:r>
        <w:rPr>
          <w:rFonts w:hint="eastAsia"/>
          <w:sz w:val="21"/>
          <w:szCs w:val="21"/>
        </w:rPr>
        <w:t>（组织脱水液</w:t>
      </w:r>
      <w:r>
        <w:rPr>
          <w:sz w:val="21"/>
          <w:szCs w:val="21"/>
        </w:rPr>
        <w:t>I</w:t>
      </w:r>
      <w:r>
        <w:rPr>
          <w:rFonts w:hint="eastAsia"/>
          <w:sz w:val="21"/>
          <w:szCs w:val="21"/>
        </w:rPr>
        <w:t>）</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kern w:val="0"/>
          <w:sz w:val="21"/>
          <w:szCs w:val="21"/>
          <w:lang w:val="en-US" w:eastAsia="zh-CN"/>
        </w:rPr>
        <w:t xml:space="preserve">    1.3  </w:t>
      </w:r>
      <w:r>
        <w:rPr>
          <w:kern w:val="0"/>
          <w:sz w:val="21"/>
          <w:szCs w:val="21"/>
        </w:rPr>
        <w:t>GSA-03</w:t>
      </w:r>
      <w:r>
        <w:rPr>
          <w:rFonts w:hint="eastAsia"/>
          <w:kern w:val="0"/>
          <w:sz w:val="21"/>
          <w:szCs w:val="21"/>
        </w:rPr>
        <w:t>（组织脱水液</w:t>
      </w:r>
      <w:r>
        <w:rPr>
          <w:kern w:val="0"/>
          <w:sz w:val="21"/>
          <w:szCs w:val="21"/>
        </w:rPr>
        <w:t>II</w:t>
      </w:r>
      <w:r>
        <w:rPr>
          <w:rFonts w:hint="eastAsia"/>
          <w:kern w:val="0"/>
          <w:sz w:val="21"/>
          <w:szCs w:val="21"/>
        </w:rPr>
        <w:t>）</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kern w:val="0"/>
          <w:sz w:val="21"/>
          <w:szCs w:val="21"/>
          <w:lang w:val="en-US" w:eastAsia="zh-CN"/>
        </w:rPr>
        <w:t xml:space="preserve">    1.4  </w:t>
      </w:r>
      <w:r>
        <w:rPr>
          <w:kern w:val="0"/>
          <w:sz w:val="21"/>
          <w:szCs w:val="21"/>
        </w:rPr>
        <w:t>GSA-04</w:t>
      </w:r>
      <w:r>
        <w:rPr>
          <w:rFonts w:hint="eastAsia"/>
          <w:kern w:val="0"/>
          <w:sz w:val="21"/>
          <w:szCs w:val="21"/>
        </w:rPr>
        <w:t>（组织透明液）</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   2. </w:t>
      </w:r>
      <w:r>
        <w:rPr>
          <w:rFonts w:hint="eastAsia"/>
          <w:sz w:val="21"/>
          <w:szCs w:val="21"/>
        </w:rPr>
        <w:t>常规组织处理试剂</w:t>
      </w:r>
    </w:p>
    <w:p>
      <w:pPr>
        <w:widowControl w:val="0"/>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    2.1  </w:t>
      </w:r>
      <w:r>
        <w:rPr>
          <w:sz w:val="21"/>
          <w:szCs w:val="21"/>
        </w:rPr>
        <w:t>10%</w:t>
      </w:r>
      <w:r>
        <w:rPr>
          <w:rFonts w:hint="eastAsia"/>
          <w:sz w:val="21"/>
          <w:szCs w:val="21"/>
        </w:rPr>
        <w:t>中性福尔马林</w:t>
      </w:r>
    </w:p>
    <w:p>
      <w:pPr>
        <w:widowControl w:val="0"/>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    2.2  </w:t>
      </w:r>
      <w:r>
        <w:rPr>
          <w:sz w:val="21"/>
          <w:szCs w:val="21"/>
        </w:rPr>
        <w:t>75%</w:t>
      </w:r>
      <w:r>
        <w:rPr>
          <w:rFonts w:hint="eastAsia"/>
          <w:sz w:val="21"/>
          <w:szCs w:val="21"/>
        </w:rPr>
        <w:t>酒精</w:t>
      </w:r>
    </w:p>
    <w:p>
      <w:pPr>
        <w:widowControl w:val="0"/>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    2.3  </w:t>
      </w:r>
      <w:r>
        <w:rPr>
          <w:sz w:val="21"/>
          <w:szCs w:val="21"/>
        </w:rPr>
        <w:t>95%</w:t>
      </w:r>
      <w:r>
        <w:rPr>
          <w:rFonts w:hint="eastAsia"/>
          <w:sz w:val="21"/>
          <w:szCs w:val="21"/>
        </w:rPr>
        <w:t>酒精</w:t>
      </w:r>
    </w:p>
    <w:p>
      <w:pPr>
        <w:widowControl w:val="0"/>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    2.4  </w:t>
      </w:r>
      <w:r>
        <w:rPr>
          <w:rFonts w:hint="eastAsia"/>
          <w:sz w:val="21"/>
          <w:szCs w:val="21"/>
        </w:rPr>
        <w:t>无水酒精</w:t>
      </w:r>
    </w:p>
    <w:p>
      <w:pPr>
        <w:widowControl w:val="0"/>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    2.5  </w:t>
      </w:r>
      <w:r>
        <w:rPr>
          <w:rFonts w:hint="eastAsia"/>
          <w:sz w:val="21"/>
          <w:szCs w:val="21"/>
        </w:rPr>
        <w:t>二甲苯</w:t>
      </w:r>
    </w:p>
    <w:p>
      <w:pPr>
        <w:pStyle w:val="8"/>
        <w:widowControl w:val="0"/>
        <w:numPr>
          <w:numId w:val="0"/>
        </w:numPr>
        <w:wordWrap/>
        <w:adjustRightInd/>
        <w:snapToGrid/>
        <w:spacing w:line="360" w:lineRule="auto"/>
        <w:ind w:right="0"/>
        <w:jc w:val="both"/>
        <w:textAlignment w:val="auto"/>
        <w:outlineLvl w:val="9"/>
        <w:rPr>
          <w:rFonts w:hint="eastAsia"/>
          <w:sz w:val="21"/>
          <w:szCs w:val="21"/>
          <w:lang w:val="en-US" w:eastAsia="zh-CN"/>
        </w:rPr>
      </w:pPr>
      <w:r>
        <w:rPr>
          <w:rFonts w:hint="eastAsia"/>
          <w:sz w:val="21"/>
          <w:szCs w:val="21"/>
          <w:lang w:val="en-US" w:eastAsia="zh-CN"/>
        </w:rPr>
        <w:t xml:space="preserve">   3. </w:t>
      </w:r>
      <w:r>
        <w:rPr>
          <w:rFonts w:hint="eastAsia"/>
          <w:sz w:val="21"/>
          <w:szCs w:val="21"/>
        </w:rPr>
        <w:t>染色试剂</w:t>
      </w:r>
      <w:r>
        <w:rPr>
          <w:rFonts w:hint="eastAsia"/>
          <w:sz w:val="21"/>
          <w:szCs w:val="21"/>
          <w:lang w:val="en-US" w:eastAsia="zh-CN"/>
        </w:rPr>
        <w:t xml:space="preserve"> </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    3.1  </w:t>
      </w:r>
      <w:r>
        <w:rPr>
          <w:sz w:val="21"/>
          <w:szCs w:val="21"/>
        </w:rPr>
        <w:t>Roch Symoheny</w:t>
      </w:r>
      <w:r>
        <w:rPr>
          <w:rFonts w:hint="eastAsia"/>
          <w:sz w:val="21"/>
          <w:szCs w:val="21"/>
        </w:rPr>
        <w:t>配套染液</w:t>
      </w:r>
    </w:p>
    <w:p>
      <w:pPr>
        <w:widowControl w:val="0"/>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   3.2  </w:t>
      </w:r>
      <w:r>
        <w:rPr>
          <w:rFonts w:hint="eastAsia"/>
          <w:sz w:val="21"/>
          <w:szCs w:val="21"/>
        </w:rPr>
        <w:t>无水酒精</w:t>
      </w:r>
    </w:p>
    <w:p>
      <w:pPr>
        <w:pStyle w:val="8"/>
        <w:widowControl w:val="0"/>
        <w:numPr>
          <w:numId w:val="0"/>
        </w:numPr>
        <w:wordWrap/>
        <w:adjustRightInd/>
        <w:snapToGrid/>
        <w:spacing w:line="360" w:lineRule="auto"/>
        <w:ind w:right="0"/>
        <w:jc w:val="both"/>
        <w:textAlignment w:val="auto"/>
        <w:outlineLvl w:val="9"/>
        <w:rPr>
          <w:rFonts w:hint="eastAsia"/>
          <w:b/>
          <w:bCs/>
          <w:sz w:val="24"/>
          <w:szCs w:val="24"/>
          <w:lang w:val="en-US" w:eastAsia="zh-CN"/>
        </w:rPr>
      </w:pPr>
      <w:r>
        <w:rPr>
          <w:rFonts w:hint="eastAsia"/>
          <w:b/>
          <w:bCs/>
          <w:sz w:val="24"/>
          <w:szCs w:val="24"/>
          <w:lang w:val="en-US" w:eastAsia="zh-CN"/>
        </w:rPr>
        <w:t>（二）标本选定</w:t>
      </w:r>
    </w:p>
    <w:p>
      <w:pPr>
        <w:widowControl w:val="0"/>
        <w:wordWrap/>
        <w:adjustRightInd/>
        <w:snapToGrid/>
        <w:spacing w:line="360" w:lineRule="auto"/>
        <w:ind w:right="0" w:firstLine="420" w:firstLineChars="200"/>
        <w:jc w:val="both"/>
        <w:textAlignment w:val="auto"/>
        <w:outlineLvl w:val="9"/>
        <w:rPr>
          <w:sz w:val="21"/>
          <w:szCs w:val="21"/>
        </w:rPr>
      </w:pPr>
      <w:r>
        <w:rPr>
          <w:rFonts w:hint="eastAsia"/>
          <w:sz w:val="21"/>
          <w:szCs w:val="21"/>
        </w:rPr>
        <w:t>宁波市临床病理诊断中心手术标本（常规取材后），每个标本取</w:t>
      </w:r>
      <w:r>
        <w:rPr>
          <w:sz w:val="21"/>
          <w:szCs w:val="21"/>
        </w:rPr>
        <w:t>1-1.5cm</w:t>
      </w:r>
      <w:r>
        <w:rPr>
          <w:rFonts w:hint="eastAsia"/>
          <w:sz w:val="21"/>
          <w:szCs w:val="21"/>
        </w:rPr>
        <w:t>×</w:t>
      </w:r>
      <w:r>
        <w:rPr>
          <w:sz w:val="21"/>
          <w:szCs w:val="21"/>
        </w:rPr>
        <w:t>0.5-1cm</w:t>
      </w:r>
      <w:r>
        <w:rPr>
          <w:rFonts w:hint="eastAsia"/>
          <w:sz w:val="21"/>
          <w:szCs w:val="21"/>
        </w:rPr>
        <w:t>×</w:t>
      </w:r>
      <w:r>
        <w:rPr>
          <w:sz w:val="21"/>
          <w:szCs w:val="21"/>
        </w:rPr>
        <w:t>0.3cm</w:t>
      </w:r>
      <w:r>
        <w:rPr>
          <w:rFonts w:hint="eastAsia"/>
          <w:sz w:val="21"/>
          <w:szCs w:val="21"/>
        </w:rPr>
        <w:t>大小</w:t>
      </w:r>
      <w:r>
        <w:rPr>
          <w:sz w:val="21"/>
          <w:szCs w:val="21"/>
        </w:rPr>
        <w:t>2</w:t>
      </w:r>
      <w:r>
        <w:rPr>
          <w:rFonts w:hint="eastAsia"/>
          <w:sz w:val="21"/>
          <w:szCs w:val="21"/>
        </w:rPr>
        <w:t>块，分别用于实验组和对照组。</w:t>
      </w:r>
    </w:p>
    <w:p>
      <w:pPr>
        <w:widowControl w:val="0"/>
        <w:wordWrap/>
        <w:adjustRightInd/>
        <w:snapToGrid/>
        <w:spacing w:line="360" w:lineRule="auto"/>
        <w:ind w:left="-56" w:leftChars="-227" w:right="0" w:firstLine="420" w:firstLineChars="200"/>
        <w:jc w:val="both"/>
        <w:textAlignment w:val="auto"/>
        <w:outlineLvl w:val="9"/>
        <w:rPr>
          <w:sz w:val="21"/>
          <w:szCs w:val="21"/>
        </w:rPr>
      </w:pPr>
      <w:r>
        <w:rPr>
          <w:sz w:val="21"/>
          <w:szCs w:val="21"/>
        </w:rPr>
        <w:t xml:space="preserve"> </w:t>
      </w:r>
      <w:r>
        <w:rPr>
          <w:rFonts w:hint="eastAsia"/>
          <w:sz w:val="21"/>
          <w:szCs w:val="21"/>
          <w:lang w:val="en-US" w:eastAsia="zh-CN"/>
        </w:rPr>
        <w:t xml:space="preserve">    </w:t>
      </w:r>
      <w:r>
        <w:rPr>
          <w:rFonts w:hint="eastAsia"/>
          <w:sz w:val="21"/>
          <w:szCs w:val="21"/>
        </w:rPr>
        <w:t>组织类型包括：</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1.  </w:t>
      </w:r>
      <w:r>
        <w:rPr>
          <w:rFonts w:hint="eastAsia"/>
          <w:sz w:val="21"/>
          <w:szCs w:val="21"/>
        </w:rPr>
        <w:t>子宫内膜与肌层×</w:t>
      </w:r>
      <w:r>
        <w:rPr>
          <w:sz w:val="21"/>
          <w:szCs w:val="21"/>
        </w:rPr>
        <w:t>3</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2.  </w:t>
      </w:r>
      <w:r>
        <w:rPr>
          <w:rFonts w:hint="eastAsia"/>
          <w:sz w:val="21"/>
          <w:szCs w:val="21"/>
        </w:rPr>
        <w:t>肺组织×</w:t>
      </w:r>
      <w:r>
        <w:rPr>
          <w:sz w:val="21"/>
          <w:szCs w:val="21"/>
        </w:rPr>
        <w:t>3</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3.  </w:t>
      </w:r>
      <w:r>
        <w:rPr>
          <w:rFonts w:hint="eastAsia"/>
          <w:sz w:val="21"/>
          <w:szCs w:val="21"/>
        </w:rPr>
        <w:t>扁桃体×</w:t>
      </w:r>
      <w:r>
        <w:rPr>
          <w:sz w:val="21"/>
          <w:szCs w:val="21"/>
        </w:rPr>
        <w:t>3</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4.  </w:t>
      </w:r>
      <w:r>
        <w:rPr>
          <w:rFonts w:hint="eastAsia"/>
          <w:sz w:val="21"/>
          <w:szCs w:val="21"/>
        </w:rPr>
        <w:t>乳腺导管内原位癌×</w:t>
      </w:r>
      <w:r>
        <w:rPr>
          <w:sz w:val="21"/>
          <w:szCs w:val="21"/>
        </w:rPr>
        <w:t>1</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5.  </w:t>
      </w:r>
      <w:r>
        <w:rPr>
          <w:rFonts w:hint="eastAsia"/>
          <w:sz w:val="21"/>
          <w:szCs w:val="21"/>
        </w:rPr>
        <w:t>乳腺纤维腺瘤×</w:t>
      </w:r>
      <w:r>
        <w:rPr>
          <w:sz w:val="21"/>
          <w:szCs w:val="21"/>
        </w:rPr>
        <w:t>2</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6.  </w:t>
      </w:r>
      <w:r>
        <w:rPr>
          <w:rFonts w:hint="eastAsia"/>
          <w:sz w:val="21"/>
          <w:szCs w:val="21"/>
        </w:rPr>
        <w:t>甲状腺×</w:t>
      </w:r>
      <w:r>
        <w:rPr>
          <w:sz w:val="21"/>
          <w:szCs w:val="21"/>
        </w:rPr>
        <w:t>3</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7.  </w:t>
      </w:r>
      <w:r>
        <w:rPr>
          <w:rFonts w:hint="eastAsia"/>
          <w:sz w:val="21"/>
          <w:szCs w:val="21"/>
        </w:rPr>
        <w:t>胃癌×</w:t>
      </w:r>
      <w:r>
        <w:rPr>
          <w:sz w:val="21"/>
          <w:szCs w:val="21"/>
        </w:rPr>
        <w:t>1</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8.  </w:t>
      </w:r>
      <w:r>
        <w:rPr>
          <w:rFonts w:hint="eastAsia"/>
          <w:sz w:val="21"/>
          <w:szCs w:val="21"/>
        </w:rPr>
        <w:t>胃壁组织×</w:t>
      </w:r>
      <w:r>
        <w:rPr>
          <w:sz w:val="21"/>
          <w:szCs w:val="21"/>
        </w:rPr>
        <w:t>2</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9.  </w:t>
      </w:r>
      <w:r>
        <w:rPr>
          <w:rFonts w:hint="eastAsia"/>
          <w:sz w:val="21"/>
          <w:szCs w:val="21"/>
        </w:rPr>
        <w:t>结肠×</w:t>
      </w:r>
      <w:r>
        <w:rPr>
          <w:sz w:val="21"/>
          <w:szCs w:val="21"/>
        </w:rPr>
        <w:t>3</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10. </w:t>
      </w:r>
      <w:r>
        <w:rPr>
          <w:rFonts w:hint="eastAsia"/>
          <w:sz w:val="21"/>
          <w:szCs w:val="21"/>
        </w:rPr>
        <w:t>肝组织×</w:t>
      </w:r>
      <w:r>
        <w:rPr>
          <w:sz w:val="21"/>
          <w:szCs w:val="21"/>
        </w:rPr>
        <w:t>3</w:t>
      </w:r>
    </w:p>
    <w:p>
      <w:pPr>
        <w:pStyle w:val="8"/>
        <w:widowControl w:val="0"/>
        <w:numPr>
          <w:numId w:val="0"/>
        </w:numPr>
        <w:wordWrap/>
        <w:adjustRightInd/>
        <w:snapToGrid/>
        <w:spacing w:line="360" w:lineRule="auto"/>
        <w:ind w:right="0"/>
        <w:jc w:val="both"/>
        <w:textAlignment w:val="auto"/>
        <w:outlineLvl w:val="9"/>
        <w:rPr>
          <w:rFonts w:hint="eastAsia"/>
          <w:b/>
          <w:bCs/>
          <w:sz w:val="24"/>
          <w:szCs w:val="24"/>
          <w:lang w:val="en-US" w:eastAsia="zh-CN"/>
        </w:rPr>
      </w:pPr>
      <w:r>
        <w:rPr>
          <w:rFonts w:hint="eastAsia"/>
          <w:b/>
          <w:bCs/>
          <w:sz w:val="24"/>
          <w:szCs w:val="24"/>
          <w:lang w:val="en-US" w:eastAsia="zh-CN"/>
        </w:rPr>
        <w:t>（三）实验方法</w:t>
      </w:r>
    </w:p>
    <w:p>
      <w:pPr>
        <w:pStyle w:val="8"/>
        <w:widowControl w:val="0"/>
        <w:numPr>
          <w:numId w:val="0"/>
        </w:numPr>
        <w:wordWrap/>
        <w:adjustRightInd/>
        <w:snapToGrid/>
        <w:spacing w:line="360" w:lineRule="auto"/>
        <w:ind w:right="0"/>
        <w:jc w:val="both"/>
        <w:textAlignment w:val="auto"/>
        <w:outlineLvl w:val="9"/>
        <w:rPr>
          <w:sz w:val="21"/>
          <w:szCs w:val="21"/>
        </w:rPr>
      </w:pPr>
      <w:r>
        <w:rPr>
          <w:rFonts w:hint="eastAsia"/>
          <w:sz w:val="21"/>
          <w:szCs w:val="21"/>
          <w:lang w:val="en-US" w:eastAsia="zh-CN"/>
        </w:rPr>
        <w:t xml:space="preserve">  1. </w:t>
      </w:r>
      <w:r>
        <w:rPr>
          <w:rFonts w:hint="eastAsia"/>
          <w:sz w:val="21"/>
          <w:szCs w:val="21"/>
        </w:rPr>
        <w:t>实验组用</w:t>
      </w:r>
      <w:r>
        <w:rPr>
          <w:sz w:val="21"/>
          <w:szCs w:val="21"/>
        </w:rPr>
        <w:t>ThermoPT420</w:t>
      </w:r>
      <w:r>
        <w:rPr>
          <w:rFonts w:hint="eastAsia"/>
          <w:sz w:val="21"/>
          <w:szCs w:val="21"/>
        </w:rPr>
        <w:t>脱水机进行脱水机内固定、脱水，透明及浸蜡，具体程序：</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kern w:val="0"/>
          <w:sz w:val="21"/>
          <w:szCs w:val="21"/>
        </w:rPr>
        <w:t>GSA-01   2h</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kern w:val="0"/>
          <w:sz w:val="21"/>
          <w:szCs w:val="21"/>
        </w:rPr>
        <w:t>75%</w:t>
      </w:r>
      <w:r>
        <w:rPr>
          <w:rFonts w:hint="eastAsia"/>
          <w:kern w:val="0"/>
          <w:sz w:val="21"/>
          <w:szCs w:val="21"/>
        </w:rPr>
        <w:t>酒精</w:t>
      </w:r>
      <w:r>
        <w:rPr>
          <w:kern w:val="0"/>
          <w:sz w:val="21"/>
          <w:szCs w:val="21"/>
        </w:rPr>
        <w:t xml:space="preserve"> 30min</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kern w:val="0"/>
          <w:sz w:val="21"/>
          <w:szCs w:val="21"/>
        </w:rPr>
        <w:t>75%</w:t>
      </w:r>
      <w:r>
        <w:rPr>
          <w:rFonts w:hint="eastAsia"/>
          <w:kern w:val="0"/>
          <w:sz w:val="21"/>
          <w:szCs w:val="21"/>
        </w:rPr>
        <w:t>酒精</w:t>
      </w:r>
      <w:r>
        <w:rPr>
          <w:kern w:val="0"/>
          <w:sz w:val="21"/>
          <w:szCs w:val="21"/>
        </w:rPr>
        <w:t xml:space="preserve"> 30min</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kern w:val="0"/>
          <w:sz w:val="21"/>
          <w:szCs w:val="21"/>
        </w:rPr>
        <w:t>80%</w:t>
      </w:r>
      <w:r>
        <w:rPr>
          <w:rFonts w:hint="eastAsia"/>
          <w:kern w:val="0"/>
          <w:sz w:val="21"/>
          <w:szCs w:val="21"/>
        </w:rPr>
        <w:t>酒精</w:t>
      </w:r>
      <w:r>
        <w:rPr>
          <w:kern w:val="0"/>
          <w:sz w:val="21"/>
          <w:szCs w:val="21"/>
        </w:rPr>
        <w:t xml:space="preserve">  1h</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kern w:val="0"/>
          <w:sz w:val="21"/>
          <w:szCs w:val="21"/>
        </w:rPr>
        <w:t>GSA-02   40min</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kern w:val="0"/>
          <w:sz w:val="21"/>
          <w:szCs w:val="21"/>
        </w:rPr>
        <w:t>GSA-02   1h</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kern w:val="0"/>
          <w:sz w:val="21"/>
          <w:szCs w:val="21"/>
        </w:rPr>
        <w:t>GSA-03   40min</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kern w:val="0"/>
          <w:sz w:val="21"/>
          <w:szCs w:val="21"/>
        </w:rPr>
        <w:t>GSA-03   1h</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kern w:val="0"/>
          <w:sz w:val="21"/>
          <w:szCs w:val="21"/>
        </w:rPr>
        <w:t>GSA-04   1h</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kern w:val="0"/>
          <w:sz w:val="21"/>
          <w:szCs w:val="21"/>
        </w:rPr>
        <w:t xml:space="preserve">GSA-04   1.5h </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rFonts w:hint="eastAsia"/>
          <w:kern w:val="0"/>
          <w:sz w:val="21"/>
          <w:szCs w:val="21"/>
        </w:rPr>
        <w:t>石蜡</w:t>
      </w:r>
      <w:r>
        <w:rPr>
          <w:kern w:val="0"/>
          <w:sz w:val="21"/>
          <w:szCs w:val="21"/>
        </w:rPr>
        <w:t xml:space="preserve">    1h</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rFonts w:hint="eastAsia"/>
          <w:kern w:val="0"/>
          <w:sz w:val="21"/>
          <w:szCs w:val="21"/>
        </w:rPr>
        <w:t>石蜡</w:t>
      </w:r>
      <w:r>
        <w:rPr>
          <w:kern w:val="0"/>
          <w:sz w:val="21"/>
          <w:szCs w:val="21"/>
        </w:rPr>
        <w:t xml:space="preserve">    1h</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rFonts w:hint="eastAsia"/>
          <w:kern w:val="0"/>
          <w:sz w:val="21"/>
          <w:szCs w:val="21"/>
        </w:rPr>
        <w:t>石蜡</w:t>
      </w:r>
      <w:r>
        <w:rPr>
          <w:kern w:val="0"/>
          <w:sz w:val="21"/>
          <w:szCs w:val="21"/>
        </w:rPr>
        <w:t xml:space="preserve">    1h</w:t>
      </w:r>
    </w:p>
    <w:p>
      <w:pPr>
        <w:pStyle w:val="8"/>
        <w:widowControl w:val="0"/>
        <w:wordWrap/>
        <w:adjustRightInd/>
        <w:snapToGrid/>
        <w:spacing w:line="360" w:lineRule="auto"/>
        <w:ind w:left="0" w:leftChars="0" w:right="0" w:firstLine="420" w:firstLineChars="200"/>
        <w:jc w:val="both"/>
        <w:textAlignment w:val="auto"/>
        <w:outlineLvl w:val="9"/>
        <w:rPr>
          <w:kern w:val="0"/>
          <w:sz w:val="21"/>
          <w:szCs w:val="21"/>
        </w:rPr>
      </w:pPr>
      <w:r>
        <w:rPr>
          <w:rFonts w:hint="eastAsia"/>
          <w:kern w:val="0"/>
          <w:sz w:val="21"/>
          <w:szCs w:val="21"/>
        </w:rPr>
        <w:t>石蜡</w:t>
      </w:r>
      <w:r>
        <w:rPr>
          <w:kern w:val="0"/>
          <w:sz w:val="21"/>
          <w:szCs w:val="21"/>
        </w:rPr>
        <w:t xml:space="preserve">    1h</w:t>
      </w:r>
    </w:p>
    <w:p>
      <w:pPr>
        <w:pStyle w:val="8"/>
        <w:widowControl w:val="0"/>
        <w:wordWrap/>
        <w:adjustRightInd/>
        <w:snapToGrid/>
        <w:spacing w:line="360" w:lineRule="auto"/>
        <w:ind w:left="0" w:leftChars="0" w:right="0" w:firstLine="0" w:firstLineChars="0"/>
        <w:jc w:val="both"/>
        <w:textAlignment w:val="auto"/>
        <w:outlineLvl w:val="9"/>
        <w:rPr>
          <w:rFonts w:hint="eastAsia"/>
          <w:kern w:val="0"/>
          <w:sz w:val="21"/>
          <w:szCs w:val="21"/>
        </w:rPr>
      </w:pPr>
      <w:r>
        <w:rPr>
          <w:rFonts w:hint="eastAsia"/>
          <w:kern w:val="0"/>
          <w:sz w:val="21"/>
          <w:szCs w:val="21"/>
          <w:lang w:val="en-US" w:eastAsia="zh-CN"/>
        </w:rPr>
        <w:t xml:space="preserve"> 2. </w:t>
      </w:r>
      <w:r>
        <w:rPr>
          <w:rFonts w:hint="eastAsia"/>
          <w:kern w:val="0"/>
          <w:sz w:val="21"/>
          <w:szCs w:val="21"/>
        </w:rPr>
        <w:t>对照组用LeicaPlorie脱水机进行脱水机内固定、脱水、透明及浸蜡，具体程序：</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10%</w:t>
      </w:r>
      <w:r>
        <w:rPr>
          <w:rFonts w:hint="eastAsia"/>
          <w:kern w:val="0"/>
          <w:sz w:val="21"/>
          <w:szCs w:val="21"/>
        </w:rPr>
        <w:t>中性福尔马林   2h</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75%</w:t>
      </w:r>
      <w:r>
        <w:rPr>
          <w:rFonts w:hint="eastAsia"/>
          <w:kern w:val="0"/>
          <w:sz w:val="21"/>
          <w:szCs w:val="21"/>
        </w:rPr>
        <w:t>酒精  30min</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75%</w:t>
      </w:r>
      <w:r>
        <w:rPr>
          <w:rFonts w:hint="eastAsia"/>
          <w:kern w:val="0"/>
          <w:sz w:val="21"/>
          <w:szCs w:val="21"/>
        </w:rPr>
        <w:t>酒精  30min</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85%</w:t>
      </w:r>
      <w:r>
        <w:rPr>
          <w:rFonts w:hint="eastAsia"/>
          <w:kern w:val="0"/>
          <w:sz w:val="21"/>
          <w:szCs w:val="21"/>
        </w:rPr>
        <w:t>酒精  1h</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95%</w:t>
      </w:r>
      <w:r>
        <w:rPr>
          <w:rFonts w:hint="eastAsia"/>
          <w:kern w:val="0"/>
          <w:sz w:val="21"/>
          <w:szCs w:val="21"/>
        </w:rPr>
        <w:t>酒精  40min</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95%</w:t>
      </w:r>
      <w:r>
        <w:rPr>
          <w:rFonts w:hint="eastAsia"/>
          <w:kern w:val="0"/>
          <w:sz w:val="21"/>
          <w:szCs w:val="21"/>
        </w:rPr>
        <w:t>酒精  1h</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无水酒精  40min</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无水酒精  1h</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二甲苯    1h</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 xml:space="preserve">二甲苯    1h </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石蜡      1h</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石蜡      1h</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石蜡      2h</w:t>
      </w:r>
    </w:p>
    <w:p>
      <w:pPr>
        <w:pStyle w:val="8"/>
        <w:widowControl w:val="0"/>
        <w:wordWrap/>
        <w:adjustRightInd/>
        <w:snapToGrid/>
        <w:spacing w:line="360" w:lineRule="auto"/>
        <w:ind w:left="0" w:leftChars="0" w:right="0" w:firstLine="0" w:firstLineChars="0"/>
        <w:jc w:val="both"/>
        <w:textAlignment w:val="auto"/>
        <w:outlineLvl w:val="9"/>
        <w:rPr>
          <w:rFonts w:hint="eastAsia"/>
          <w:kern w:val="0"/>
          <w:sz w:val="21"/>
          <w:szCs w:val="21"/>
        </w:rPr>
      </w:pPr>
      <w:r>
        <w:rPr>
          <w:rFonts w:hint="eastAsia"/>
          <w:kern w:val="0"/>
          <w:sz w:val="21"/>
          <w:szCs w:val="21"/>
          <w:lang w:val="en-US" w:eastAsia="zh-CN"/>
        </w:rPr>
        <w:t xml:space="preserve"> 3. </w:t>
      </w:r>
      <w:r>
        <w:rPr>
          <w:rFonts w:hint="eastAsia"/>
          <w:kern w:val="0"/>
          <w:sz w:val="21"/>
          <w:szCs w:val="21"/>
        </w:rPr>
        <w:t>Symphony HE</w:t>
      </w:r>
      <w:r>
        <w:rPr>
          <w:rFonts w:hint="eastAsia"/>
          <w:kern w:val="0"/>
          <w:sz w:val="21"/>
          <w:szCs w:val="21"/>
        </w:rPr>
        <w:t>染色程序：N7C2A</w:t>
      </w:r>
    </w:p>
    <w:p>
      <w:pPr>
        <w:pStyle w:val="8"/>
        <w:widowControl w:val="0"/>
        <w:wordWrap/>
        <w:adjustRightInd/>
        <w:snapToGrid/>
        <w:spacing w:line="360" w:lineRule="auto"/>
        <w:ind w:left="0" w:leftChars="0" w:right="0" w:firstLine="0" w:firstLineChars="0"/>
        <w:jc w:val="both"/>
        <w:textAlignment w:val="auto"/>
        <w:outlineLvl w:val="9"/>
        <w:rPr>
          <w:rFonts w:hint="eastAsia"/>
          <w:kern w:val="0"/>
          <w:sz w:val="21"/>
          <w:szCs w:val="21"/>
        </w:rPr>
      </w:pPr>
      <w:r>
        <w:rPr>
          <w:rFonts w:hint="eastAsia"/>
          <w:kern w:val="0"/>
          <w:sz w:val="21"/>
          <w:szCs w:val="21"/>
          <w:lang w:val="en-US" w:eastAsia="zh-CN"/>
        </w:rPr>
        <w:t xml:space="preserve"> 4. </w:t>
      </w:r>
      <w:r>
        <w:rPr>
          <w:rFonts w:hint="eastAsia"/>
          <w:kern w:val="0"/>
          <w:sz w:val="21"/>
          <w:szCs w:val="21"/>
        </w:rPr>
        <w:t>切片判读</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由3名具有高级职称的病理医师分别对比观察切片，并记录。</w:t>
      </w:r>
    </w:p>
    <w:p>
      <w:pPr>
        <w:pStyle w:val="8"/>
        <w:widowControl w:val="0"/>
        <w:numPr>
          <w:numId w:val="0"/>
        </w:numPr>
        <w:wordWrap/>
        <w:adjustRightInd/>
        <w:snapToGrid/>
        <w:spacing w:line="360" w:lineRule="auto"/>
        <w:ind w:right="0"/>
        <w:jc w:val="both"/>
        <w:textAlignment w:val="auto"/>
        <w:outlineLvl w:val="9"/>
        <w:rPr>
          <w:rFonts w:hint="eastAsia"/>
          <w:b/>
          <w:bCs/>
          <w:sz w:val="24"/>
          <w:szCs w:val="24"/>
          <w:lang w:val="en-US" w:eastAsia="zh-CN"/>
        </w:rPr>
      </w:pPr>
      <w:r>
        <w:rPr>
          <w:rFonts w:hint="eastAsia"/>
          <w:b/>
          <w:bCs/>
          <w:sz w:val="24"/>
          <w:szCs w:val="24"/>
          <w:lang w:val="en-US" w:eastAsia="zh-CN"/>
        </w:rPr>
        <w:t>（三）实验对比结果</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经显微镜下对比实验组与对照组发现：1）两组的各种组织结构，组织结构形态相似；2）细胞胞浆染色及胞核染色质染色清晰；3）实验组中乳腺组织相对于对照组伊红着色更为艳丽，核浆红蓝对比更为鲜明。两组的HE染色质量均达到诊断要求。</w:t>
      </w:r>
    </w:p>
    <w:p>
      <w:pPr>
        <w:pStyle w:val="8"/>
        <w:widowControl w:val="0"/>
        <w:numPr>
          <w:numId w:val="0"/>
        </w:numPr>
        <w:wordWrap/>
        <w:adjustRightInd/>
        <w:snapToGrid/>
        <w:spacing w:line="360" w:lineRule="auto"/>
        <w:ind w:right="0"/>
        <w:jc w:val="both"/>
        <w:textAlignment w:val="auto"/>
        <w:outlineLvl w:val="9"/>
        <w:rPr>
          <w:rFonts w:hint="eastAsia"/>
          <w:b/>
          <w:bCs/>
          <w:sz w:val="28"/>
          <w:szCs w:val="28"/>
          <w:lang w:eastAsia="zh-CN"/>
        </w:rPr>
      </w:pPr>
      <w:r>
        <w:rPr>
          <w:rFonts w:hint="eastAsia"/>
          <w:b/>
          <w:bCs/>
          <w:sz w:val="28"/>
          <w:szCs w:val="28"/>
          <w:lang w:eastAsia="zh-CN"/>
        </w:rPr>
        <w:t>三、实验对比结论</w:t>
      </w:r>
    </w:p>
    <w:p>
      <w:pPr>
        <w:pStyle w:val="8"/>
        <w:widowControl w:val="0"/>
        <w:wordWrap/>
        <w:adjustRightInd/>
        <w:snapToGrid/>
        <w:spacing w:line="360" w:lineRule="auto"/>
        <w:ind w:left="0" w:leftChars="0" w:right="0" w:firstLine="420" w:firstLineChars="200"/>
        <w:jc w:val="both"/>
        <w:textAlignment w:val="auto"/>
        <w:outlineLvl w:val="9"/>
        <w:rPr>
          <w:rFonts w:hint="eastAsia"/>
          <w:kern w:val="0"/>
          <w:sz w:val="21"/>
          <w:szCs w:val="21"/>
        </w:rPr>
      </w:pPr>
      <w:r>
        <w:rPr>
          <w:rFonts w:hint="eastAsia"/>
          <w:kern w:val="0"/>
          <w:sz w:val="21"/>
          <w:szCs w:val="21"/>
        </w:rPr>
        <w:t>实验组与对照组在HE染色对比研究中均达到诊断要求。表明经哈尔滨格林公司组织处理试剂固定脱水透明的标本与常规试剂固定脱水透明的标本在HE染色制片均能满足病理诊断的需要。</w:t>
      </w:r>
    </w:p>
    <w:p>
      <w:pPr>
        <w:ind w:firstLine="480"/>
        <w:jc w:val="right"/>
        <w:rPr>
          <w:sz w:val="21"/>
          <w:szCs w:val="21"/>
        </w:rPr>
      </w:pPr>
    </w:p>
    <w:p>
      <w:pPr>
        <w:ind w:firstLine="480"/>
        <w:jc w:val="right"/>
        <w:rPr>
          <w:sz w:val="24"/>
          <w:szCs w:val="24"/>
        </w:rPr>
      </w:pPr>
      <w:bookmarkStart w:id="0" w:name="_GoBack"/>
      <w:bookmarkEnd w:id="0"/>
      <w:r>
        <w:rPr>
          <w:sz w:val="24"/>
          <w:szCs w:val="24"/>
        </w:rPr>
        <w:t>2014.10.6</w:t>
      </w:r>
    </w:p>
    <w:sectPr>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748A9"/>
    <w:rsid w:val="00032036"/>
    <w:rsid w:val="00094FEC"/>
    <w:rsid w:val="000D5FFE"/>
    <w:rsid w:val="00131FF3"/>
    <w:rsid w:val="001F1F60"/>
    <w:rsid w:val="00276FE4"/>
    <w:rsid w:val="00297506"/>
    <w:rsid w:val="002A5593"/>
    <w:rsid w:val="002D3DC1"/>
    <w:rsid w:val="003748A9"/>
    <w:rsid w:val="0041731C"/>
    <w:rsid w:val="00454702"/>
    <w:rsid w:val="004B7C7E"/>
    <w:rsid w:val="0050115E"/>
    <w:rsid w:val="0055671D"/>
    <w:rsid w:val="00594A43"/>
    <w:rsid w:val="00622201"/>
    <w:rsid w:val="00623614"/>
    <w:rsid w:val="00747BDB"/>
    <w:rsid w:val="008D15AA"/>
    <w:rsid w:val="009C60E2"/>
    <w:rsid w:val="009E787E"/>
    <w:rsid w:val="00A26FA7"/>
    <w:rsid w:val="00AF60B6"/>
    <w:rsid w:val="00B178AE"/>
    <w:rsid w:val="00C76882"/>
    <w:rsid w:val="00C83A5A"/>
    <w:rsid w:val="00C95EAB"/>
    <w:rsid w:val="00D60FA1"/>
    <w:rsid w:val="00DE174F"/>
    <w:rsid w:val="00E06B15"/>
    <w:rsid w:val="00E622E5"/>
    <w:rsid w:val="00E62F1E"/>
    <w:rsid w:val="00EF34FA"/>
    <w:rsid w:val="00EF3DDE"/>
    <w:rsid w:val="55B463DD"/>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12"/>
    <w:semiHidden/>
    <w:uiPriority w:val="99"/>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b/>
      <w:bCs/>
      <w:kern w:val="28"/>
      <w:sz w:val="32"/>
      <w:szCs w:val="32"/>
    </w:rPr>
  </w:style>
  <w:style w:type="paragraph" w:customStyle="1" w:styleId="8">
    <w:name w:val="List Paragraph"/>
    <w:basedOn w:val="1"/>
    <w:qFormat/>
    <w:uiPriority w:val="99"/>
    <w:pPr>
      <w:ind w:firstLine="420" w:firstLineChars="200"/>
    </w:pPr>
  </w:style>
  <w:style w:type="character" w:customStyle="1" w:styleId="9">
    <w:name w:val="Subtitle Char"/>
    <w:basedOn w:val="6"/>
    <w:link w:val="5"/>
    <w:locked/>
    <w:uiPriority w:val="99"/>
    <w:rPr>
      <w:rFonts w:ascii="Cambria" w:hAnsi="Cambria" w:eastAsia="宋体" w:cs="Times New Roman"/>
      <w:b/>
      <w:bCs/>
      <w:kern w:val="28"/>
      <w:sz w:val="32"/>
      <w:szCs w:val="32"/>
    </w:rPr>
  </w:style>
  <w:style w:type="character" w:customStyle="1" w:styleId="10">
    <w:name w:val="Header Char"/>
    <w:basedOn w:val="6"/>
    <w:link w:val="4"/>
    <w:locked/>
    <w:uiPriority w:val="99"/>
    <w:rPr>
      <w:rFonts w:cs="Times New Roman"/>
      <w:sz w:val="18"/>
      <w:szCs w:val="18"/>
    </w:rPr>
  </w:style>
  <w:style w:type="character" w:customStyle="1" w:styleId="11">
    <w:name w:val="Footer Char"/>
    <w:basedOn w:val="6"/>
    <w:link w:val="3"/>
    <w:locked/>
    <w:uiPriority w:val="99"/>
    <w:rPr>
      <w:rFonts w:cs="Times New Roman"/>
      <w:sz w:val="18"/>
      <w:szCs w:val="18"/>
    </w:rPr>
  </w:style>
  <w:style w:type="character" w:customStyle="1" w:styleId="12">
    <w:name w:val="Balloon Text Char"/>
    <w:basedOn w:val="6"/>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226</Words>
  <Characters>1290</Characters>
  <Lines>0</Lines>
  <Paragraphs>0</Paragraphs>
  <TotalTime>0</TotalTime>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2014-10-05T07:08:00Z</dcterms:created>
  <dc:creator>dell</dc:creator>
  <cp:lastModifiedBy>柳柳</cp:lastModifiedBy>
  <cp:lastPrinted>2014-10-09T00:55:00Z</cp:lastPrinted>
  <dcterms:modified xsi:type="dcterms:W3CDTF">2015-08-22T12:45:49Z</dcterms:modified>
  <dc:title>GS环保组织制备试剂处理组织</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